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685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20"/>
      </w:tblPr>
      <w:tblGrid>
        <w:gridCol w:w="1485"/>
        <w:gridCol w:w="5385"/>
        <w:gridCol w:w="3795"/>
        <w:tblGridChange w:id="0">
          <w:tblGrid>
            <w:gridCol w:w="1485"/>
            <w:gridCol w:w="5385"/>
            <w:gridCol w:w="379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Guidance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5.4.U1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 clade is a group of organisms that have evolved from a common ancestor.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5.4.U2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Evidence for which species are part of a clade can be obtained from the base sequences of a gene or the corresponding amino acid sequence of a protein.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5.4.U3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Sequence differences accumulate gradually so there is a positive correlation between the number of differences between two species and the time since they diverged from a common ancestor.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5.4.U4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Traits can be analogous or homologous.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5.4.U5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Cladograms are tree diagrams that show the most probable sequence of divergence in clades.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5.4.U6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Evidence from cladistics has shown that classifications of some groups based on structure did not correspond with the evolutionary origins of a group or species.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5.4.A1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Cladograms including humans and other primates.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5.4.A2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Reclassification of the figwort family using evidence from cladistics.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5.4.S1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Analysis of cladograms to deduce evolutionary relationships.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u w:val="single"/>
          <w:rtl w:val="0"/>
        </w:rPr>
        <w:t xml:space="preserve">5.4.U5 Cladograms are tree diagrams that show the most probable sequence of divergence in clades.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Ubuntu" w:cs="Ubuntu" w:eastAsia="Ubuntu" w:hAnsi="Ubuntu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is a tree diagram showing the similarities and differences between different species.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The branching points on cladograms are called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u w:val="single"/>
          <w:rtl w:val="0"/>
        </w:rPr>
        <w:t xml:space="preserve">n_________________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Cladograms are mostly based on  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D________   b ____________   s______________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or the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a_________    a___________   s____________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in a protein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u w:val="single"/>
          <w:rtl w:val="0"/>
        </w:rPr>
        <w:t xml:space="preserve">5.4.U5 Cladograms are tree diagrams that show the most probable sequence of divergence in clades.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Species may evolve over time to form a new species. Consequently there are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g________ of s_______________  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derived from a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c______________   a________________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Such groups are called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c___________________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Note all members of a clade may exist today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Common ancestors often do not exist, they have evolved into modern species or have become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 e__________________________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Ubuntu" w:cs="Ubuntu" w:eastAsia="Ubuntu" w:hAnsi="Ubuntu"/>
          <w:sz w:val="20"/>
          <w:szCs w:val="20"/>
          <w:u w:val="single"/>
          <w:rtl w:val="0"/>
        </w:rPr>
        <w:t xml:space="preserve">.4.U5 Cladograms are tree diagrams that show the most probable sequence of divergence in clades.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DNA evidence can be used to build a CLADOGRAM OF PRIMATES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Humans are included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Used to estimate when species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d___________________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and hence when the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c________________   a______________   e__________________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u w:val="single"/>
          <w:rtl w:val="0"/>
        </w:rPr>
        <w:t xml:space="preserve">5.4.U2 Evidence for which species are part of a clade can be obtained from the base sequences of a gene or the corresponding amino acid sequence of a protein. </w:t>
        <w:br w:type="textWrapping"/>
        <w:t xml:space="preserve">5.4.U3 Sequence differences accumulate gradually so there is a positive correlation between the number of differences between two species and the time since they diverged from a common ancestor.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____________________   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in the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___________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that persist and are inherited occur at a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___________________    __________________.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For example: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MITOCHONDRIAL DNA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from humans and primates has been completely sequenced and used to construct cladograms between them.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rate at which mutations occurred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at can be used as a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molecular clock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to calculate how long ago the species diverged.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If the DNA base sequences or two species are similar….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….then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FEW mutations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have occurred….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...therefore the species only diverged relatively recently.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u w:val="single"/>
          <w:rtl w:val="0"/>
        </w:rPr>
        <w:t xml:space="preserve">5.4.U4 Traits can be analogous or homologous.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H_______________________     S_______________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are similar because of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COMMON ANCESTRY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For example: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</w:rPr>
        <w:drawing>
          <wp:inline distB="19050" distT="19050" distL="19050" distR="19050">
            <wp:extent cx="2941372" cy="23669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299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1372" cy="2366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A_______________________  S_______________________ 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are similar because of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CONVERGENT EVOLUTION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For example: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</w:rPr>
        <w:drawing>
          <wp:inline distB="19050" distT="19050" distL="19050" distR="19050">
            <wp:extent cx="1533525" cy="2590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6666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u w:val="single"/>
          <w:rtl w:val="0"/>
        </w:rPr>
        <w:t xml:space="preserve">5.4.A2 Reclassification of the figwort family using evidence from cladistics.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Ubuntu" w:cs="Ubuntu" w:eastAsia="Ubuntu" w:hAnsi="Ubuntu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Ubuntu" w:cs="Ubuntu" w:eastAsia="Ubuntu" w:hAnsi="Ubuntu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DNA EVIDENCE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identified the different </w:t>
      </w: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common ancestors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color w:val="ff0000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color w:val="ff0000"/>
          <w:sz w:val="20"/>
          <w:szCs w:val="20"/>
          <w:rtl w:val="0"/>
        </w:rPr>
        <w:t xml:space="preserve">Practice: Use pg 275 of your textbook  to complete the reclassification of the figwort family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Ubuntu" w:cs="Ubuntu" w:eastAsia="Ubuntu" w:hAnsi="Ubuntu"/>
          <w:color w:val="ff0000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color w:val="ff0000"/>
          <w:sz w:val="20"/>
          <w:szCs w:val="20"/>
          <w:rtl w:val="0"/>
        </w:rPr>
        <w:t xml:space="preserve">HOMEWORK: Use the Tree of Life interactive </w:t>
      </w:r>
      <w:hyperlink r:id="rId7">
        <w:r w:rsidDel="00000000" w:rsidR="00000000" w:rsidRPr="00000000">
          <w:rPr>
            <w:rFonts w:ascii="Ubuntu" w:cs="Ubuntu" w:eastAsia="Ubuntu" w:hAnsi="Ubuntu"/>
            <w:color w:val="1155cc"/>
            <w:sz w:val="20"/>
            <w:szCs w:val="20"/>
            <w:u w:val="single"/>
            <w:rtl w:val="0"/>
          </w:rPr>
          <w:t xml:space="preserve">http://www.wellcometreeoflife.org/interactive/</w:t>
        </w:r>
      </w:hyperlink>
      <w:r w:rsidDel="00000000" w:rsidR="00000000" w:rsidRPr="00000000">
        <w:rPr>
          <w:rFonts w:ascii="Ubuntu" w:cs="Ubuntu" w:eastAsia="Ubuntu" w:hAnsi="Ubuntu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Ubuntu" w:cs="Ubuntu" w:eastAsia="Ubuntu" w:hAnsi="Ubuntu"/>
          <w:color w:val="ff0000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color w:val="ff0000"/>
          <w:sz w:val="20"/>
          <w:szCs w:val="20"/>
          <w:rtl w:val="0"/>
        </w:rPr>
        <w:t xml:space="preserve">Look up points of evolution for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Ubuntu" w:cs="Ubuntu" w:eastAsia="Ubuntu" w:hAnsi="Ubuntu"/>
          <w:color w:val="ff0000"/>
          <w:sz w:val="20"/>
          <w:szCs w:val="20"/>
          <w:u w:val="none"/>
        </w:rPr>
      </w:pPr>
      <w:r w:rsidDel="00000000" w:rsidR="00000000" w:rsidRPr="00000000">
        <w:rPr>
          <w:rFonts w:ascii="Ubuntu" w:cs="Ubuntu" w:eastAsia="Ubuntu" w:hAnsi="Ubuntu"/>
          <w:color w:val="ff0000"/>
          <w:sz w:val="20"/>
          <w:szCs w:val="20"/>
          <w:rtl w:val="0"/>
        </w:rPr>
        <w:t xml:space="preserve">Chordata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Ubuntu" w:cs="Ubuntu" w:eastAsia="Ubuntu" w:hAnsi="Ubuntu"/>
          <w:color w:val="ff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mbri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Cambria" w:cs="Cambria" w:eastAsia="Cambria" w:hAnsi="Cambria"/>
        <w:rtl w:val="0"/>
      </w:rPr>
      <w:t xml:space="preserve">Topic 5.4 Cladistics Skeleton Notes</w:t>
      <w:tab/>
      <w:tab/>
      <w:tab/>
      <w:tab/>
      <w:tab/>
      <w:tab/>
      <w:t xml:space="preserve">Name: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pPr/>
      <w:rPr/>
      <w:tcPr>
        <w:tcBorders>
          <w:left w:color="9bbb59" w:space="0" w:sz="8" w:val="single"/>
          <w:right w:color="9bbb59" w:space="0" w:sz="8" w:val="single"/>
        </w:tcBorders>
      </w:tcPr>
    </w:tblStylePr>
    <w:tblStylePr w:type="band2Horz">
      <w:pPr/>
      <w:rPr/>
      <w:tcPr/>
    </w:tblStylePr>
    <w:tblStylePr w:type="band2Vert">
      <w:pPr/>
      <w:rPr/>
      <w:tcPr>
        <w:tcBorders>
          <w:left w:color="9bbb59" w:space="0" w:sz="8" w:val="single"/>
          <w:right w:color="9bbb59" w:space="0" w:sz="8" w:val="single"/>
        </w:tcBorders>
      </w:tcPr>
    </w:tblStylePr>
    <w:tblStylePr w:type="firstCol">
      <w:pPr/>
      <w:rPr>
        <w:b w:val="1"/>
        <w:i w:val="0"/>
      </w:rPr>
      <w:tcPr/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shd w:fill="9bbb59" w:val="clear"/>
      </w:tcPr>
    </w:tblStylePr>
    <w:tblStylePr w:type="lastCol">
      <w:pPr/>
      <w:rPr>
        <w:b w:val="1"/>
        <w:i w:val="0"/>
      </w:rPr>
      <w:tcPr/>
    </w:tblStylePr>
    <w:tblStylePr w:type="lastRow">
      <w:pPr/>
      <w:rPr>
        <w:b w:val="1"/>
        <w:i w:val="0"/>
      </w:rPr>
      <w:tcPr>
        <w:tcBorders>
          <w:top w:color="9bbb59" w:space="0" w:sz="32" w:val="single"/>
        </w:tcBorders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wellcometreeoflife.org/interactive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